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6 vom 7. Juni 2022</w:t>
      </w:r>
    </w:p>
    <w:p>
      <w:r>
        <w:t>VS Kantonsgericht, 2022-06-07, FR</w:t>
      </w:r>
    </w:p>
    <w:p>
      <w:r>
        <w:rPr>
          <w:b/>
        </w:rPr>
        <w:t xml:space="preserve">Quelle: </w:t>
      </w:r>
      <w:r>
        <w:t>https://mcp.opencaselaw.ch/entscheid/vs_gerichte_S1 20 6</w:t>
      </w:r>
    </w:p>
    <w:p>
      <w:r>
        <w:t>FR: VS_GERICHTE S1 20 6 du 7 juin 2022</w:t>
      </w:r>
    </w:p>
    <w:p>
      <w:r>
        <w:t>IT: VS_GERICHTE S1 20 6 del 7 giugno 2022</w:t>
      </w:r>
    </w:p>
    <w:p>
      <w:pPr>
        <w:pStyle w:val="Heading2"/>
      </w:pPr>
      <w:r>
        <w:t>Regeste</w:t>
      </w:r>
    </w:p>
    <w:p>
      <w:r>
        <w:t>Par arrêt du 07 juin 2022 (9C_267/2022), le Tribunal fédéral a déclaré irrecevable le recours en matière de droit public interjeté par X_ contre ce jugement. S1 20 6 JUGEMENT DU 12 AVRIL 2022 Tribunal cantonal du Valais Cour des assurances sociales Composition : Candido Prada, président ; Jean-Bernard Fournier et Christophe Joris, juges ; Simon Hausammann, greffier en la cause X _________, 1912 Leytron, recourant, représenté par Maître Luis Neves, avocat, 1920 Martigny contre OFFICE CANTONAL AI DU VALAIS, 1950 Sion, intimé (art. 17 LPGA ; révision et suppression de la rente d’invalidité)</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8 janvier 2020, le recours à l'encontre de la décision du 21 novembre 2019 a été interjeté dans le délai légal de trente jours, prolongé des féries judiciaires (art. 38 al.</w:t>
      </w:r>
    </w:p>
    <w:p>
      <w:r>
        <w:rPr>
          <w:b/>
        </w:rPr>
        <w:t>E. 4</w:t>
      </w:r>
    </w:p>
    <w:p>
      <w:r>
        <w:t>et 60 LPGA), et devant l'instance compétente (art. 56, 57 LPGA et 69 al. 1 let. a LAI ; art. 81a al. 1 LPJA). Il répond par ailleurs aux autres conditions formelles de recevabilité (art. 61 let. b LPGA), de sorte que la Cour doit entrer en matière. 2. Le litige s’inscrit dans le cadre d’une procédure de révision d’office ayant amené l’OAI à supprimer la rente d’invalidité entière du recourant, dès le 1er janvier 2020. 3.1. 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9C_899/2015 du 4 mars 2016 consid.</w:t>
      </w:r>
    </w:p>
    <w:p>
      <w:r>
        <w:rPr>
          <w:b/>
        </w:rPr>
        <w:t>E. 4.1</w:t>
      </w:r>
    </w:p>
    <w:p>
      <w:r>
        <w:t>Lors de l’octroi de la rente d’invalidité entière le 26 janvier 2017, l’assuré, qui devait se déplacer à l’aide de deux cannes, venait de subir une importante intervention chirurgicale aux HUG, entraînant une incapacité totale de travail dans toutes activités durant une période estimée à deux années, période pendant laquelle il devait encore se soumettre à de nombreux traitements post-opératoires et de rééducation. Les experts qui l’avaient examiné le 30 juin 2016 partageaient cette même constatation et concluaient à une incapacité de travail totale dans l’attente des conséquences de cette intervention, en spécifiant qu’un pronostic sur les capacités de travail résiduelles du recourant ne pourrait être établi qu’après cette période de deux ans. Sur le plan psychique, un trouble de l’adaptation avec réaction mixte anxieuse et dépressive (F43.22) avait en premier lieu été observé par le CCPP. L’expert-psychiatre, quant à lui, avait ensuite retenu un trouble de l’adaptation avec réaction prolongée (F43.21) apparu secondairement à un contexte de santé somatique dégradé, en notant que les symptômes psychiques se manifestaient en particulier lorsque le recourant mentionnait ses difficultés économiques et son sentiment d’inutilité en lien avec ses problèmes orthopédiques. Il n’avait cependant pas relevé de perte d’intégration sociale, ni d’atteinte significative touchant le fonctionnement cognitif, concluant ainsi qu’aucune incapacité de travail n’était justifiée par des motifs psychiques.</w:t>
      </w:r>
    </w:p>
    <w:p>
      <w:r>
        <w:t>- 13 -</w:t>
      </w:r>
    </w:p>
    <w:p>
      <w:r>
        <w:rPr>
          <w:b/>
        </w:rPr>
        <w:t>E. 4.2</w:t>
      </w:r>
    </w:p>
    <w:p>
      <w:r>
        <w:t>Lors de la procédure de révision de la rente entreprise en août 2018, l’OAI a pris connaissance de différents rapports des HUG qui détaillaient le suivi post-opératoire de l’intéressé. L’évolution avait alors été jugée de favorable, notamment au vu des suites de la mise en place d’une correction angulaire qui avait permis à la jambe gauche du recourant de retrouver un axe normal et correct. Après l’ablation d’une partie des vis, celui-ci avait ainsi pu retrouver un appui complet sur sa jambe, sans douleurs et sans que soit nécessaire l’emploi d’une canne. Dans son rapport du 27 juin 2019, le Dr H _________ a indiqué que la situation s’était consolidée avec des douleurs stables nécessitant uniquement la prise de Dafalgan de manière occasionnelle. Il a en particulier relevé que si des douleurs résiduelles étaient encore présentes, le recourant n’était pas particulièrement gêné dans sa vie quotidienne et donc qu’une nouvelle opération n’était pas indiquée. Pour établir cet avis, le médecin s’est basé sur ses examens cliniques et sur différents bilans radiologiques, dont celui du 28 mai 2019. Cela étant, il n’existe aucune raison de remettre en doute les observations de ce spécialiste qui a rencontré à plusieurs reprises le recourant pour d’abord procéder à l’ablation des vis du clou tibial gauche, puis suivre son évolution. Il connaissait dès lors parfaitement l’anamnèse du recourant, a pu prendre en compte ses plaintes, et procéder à tous les examens nécessaires pour retenir des conclusions bien étayées. Son avis comporte dès lors une valeur probante intrinsèque entière et l’on ne voit d’ailleurs pas quel autre examen aurait dû être réalisé pour que son rapport puisse être considéré comme exhaustif pour le recourant. La dialectique de ce dernier se limite du reste à simplement critiquer la valeur probante des pièces médicales au dossier, sans apporter la moindre justification objective, par le biais d’un élément médical, ce qui est à l’évidence insuffisant pour remettre en doute l’avis du Dr H _________. L’avis du Prof. I _________ ne lui est, à cet égard, d’aucun secours, ce dernier se limitant à affirmer que l’activité de maçon n’était plus envisageable sans pour autant prétendre que son patient était également incapable de travailler dans une activité adaptée. Or, la décision querellée retient justement une capacité de travail entière dans une activité adaptée seulement et aucunement dans son ancienne activité de maçon. De surcroît, le fait qu’il doive encore s’aider d’une canne pour marcher et que des douleurs résiduelles de faibles intensité (au vu du traitement prescrit) persistent, ne sauraient suffire à justifier le maintien de son droit à la rente, compte tenu de son obligation de réduire le dommage. Au demeurant, en l’état du dossier, le recourant n’est manifestement plus sujet à des séquelles psychiques, dans la mesure où aucune piste en ce sens n’a été évoquée par</w:t>
      </w:r>
    </w:p>
    <w:p>
      <w:r>
        <w:t>- 14 - les intervenants des HUG et qu’il n’est plus suivi pour une telle symptomatologie depuis des années. Par ailleurs, le trouble de l’adaptation qui lui avait été diagnostiqué par le CCPP en 2015 et par le Dr G _________ dans l’expertise de 2016, était exclusivement causé par ses difficultés somatiques alors importantes et n’entraînait, du reste, aucune incapacité de travail (le CCPP mentionnait dans son rapport du 12 octobre 2015 que « la capacité de travail dépend essentiellement de l’évolution des douleurs de sa jambe » et l’expert psychiatre évoquait le 30 juin 2016 que « la présente évaluation n’a pas mis en évidence d’atteinte des capacités fonctionnelles de l’expertisé ou troubles psychiques dont l’intensité pourrait justifier une éventuelle incapacité de travail »). Sur la base de ces éléments, aucun indice n’allant dans le sens d’une atteinte psychique, il ne revenait par conséquent pas à l’intimé d’instruire plus en avant sur de prétendus symptômes allégués par le recourant seulement au stade de son recours et de plus aucunement démontrés. Le parallèle qu’il établit avec la procédure de 2015 n’est en rien comparable, dès lors qu’à cette époque, l’OAI avait finalement instruit sur le plan psychique en raison de la production d’un rapport d’une psychologue faisant état d’une anxiété généralisée. Or, aucune pièce en ce sens n’a été versée en cause durant la procédure de révision, ce que le recourant aurait inévitablement fait si un professionnel de la santé avait réellement fait état d’un trouble psychique à ce jour. Finalement, le rapport du SMR, remis en cause par le recourant, constitue un rapport au sens de l’article 59 alinéa 2bis aLAI (en corrélation avec l’art. 49 al. 1 RAI), dans la mesure où il ne repose pas sur des observations cliniques auxquelles il aurait procédé lui-même, mais sur une appréciation fondée exclusivement sur une analyse des documents médicaux versés au dossier. Ce rapport s’est fondé sur l’ensemble des pièces médicales présentes et bénéficie ainsi d’une pleine valeur probante permettant à l’OAI et à la Cour de céans de porter un jugement valable sur l’affaire (arrêts 9C_542/2011 précité et I 143/07 du 14 septembre 2007 consid. 3.3). Il n’était au demeurant pas nécessaire que le SMR examine personnellement l’assuré, la situation médicale étant essentiellement établie, de sorte qu’un examen médical direct de l’assuré passait au second plan (arrêt 9C_589/2010 du 8 septembre 2010 consid. 2 ; 9C_323/2009 du 22 mai 2009 consid. 4.2 et 4.3).</w:t>
      </w:r>
    </w:p>
    <w:p>
      <w:r>
        <w:rPr>
          <w:b/>
        </w:rPr>
        <w:t>E. 4.3</w:t>
      </w:r>
    </w:p>
    <w:p>
      <w:r>
        <w:t>Fort de ces constats, l’intimé a requis les différents avis médicaux nécessaires pour établir l’évolution de l’état de santé du recourant depuis sa mise au bénéfice d’une rente entière d’invalidité et n’a pas restreint son analyse, comme le prétend le celui-ci, à l’attente de l’écoulement du délai de deux ans pour ensuite lui supprimer sa rente. Dès lors, dans la mesure où les conclusions du spécialiste des HUG ont mis en évidence une</w:t>
      </w:r>
    </w:p>
    <w:p>
      <w:r>
        <w:t>- 15 - nette amélioration de l’état de santé du recourant depuis l’année 2017, l’intimé pouvait à juste titre supprimer sa rente d’invalidité dans le cadre de la procédure de révision, dès le 1er janvier 2020 (art. 88bis al. 2 let. a RAI).</w:t>
      </w:r>
    </w:p>
    <w:p>
      <w:r>
        <w:rPr>
          <w:b/>
        </w:rPr>
        <w:t>E. 4.4</w:t>
      </w:r>
    </w:p>
    <w:p>
      <w:r>
        <w:t>Les faits étant suffisamment établis, il n’y non plus pas lieu pour la Cour de céans d’ordonner l’administration d’un autre moyen de preuve comme le requiert le recourant, à savoir son interrogatoire et une expertise pluridisciplinaire (appréciation anticipée des moyens de preuve ; ATF 145 I 167 consid. 4.1 ; 144 II 427 consid. 3.1.3 et 141 I 60 consid. 3.3). 5. Dans un second grief, le recourant conteste le taux d’invalidité retenu par la décision querellée. 5.1. 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est invalide à 40% au moins (art. 28 al. 1 let. b et c LAI). Il peut en outre prétendre à une mesure de reclassement s’il est invalide à 20% environ (ATF 139 V 399 consid. 5.3, 130 V 488 consid. 4.2 et 124 V 108 consid. 2b). L'invalidité est une notion économique et non médicale. Les critères médico-théoriques ne sont pas déterminants à la différence des répercussions de l'atteinte à la santé sur la capacité de gain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5.2.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t>- 16 - 5.2.1.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8C_610/2017 du 3 avril 2018 consid. 3.3.1). On se fondera, sur ce point, sur les renseignements communiqués par l’employeur ou, à défaut, sur l’évolution des salaires nominaux (arrêt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V322 consid. 4.1 ; arrêt 8C_589/2018 du 4 juillet 2019 consid. 6.2). Ne font pas partie du revenu déterminant les frais accessoires au salaire, qui sont à la charge de l’employeur et qui ne sont pas soumis aux cotisations AVS. Il en va de même des allocations familiales et des remboursements de frais qui ne sont pas compris dans la notion de revenu d’une activité lucrative au sens de l’AVS (B _________ Valterio, Droit de l’assurance-vieillesse et survivants[AVS] et de l’assurance-invalidité [AI], Genève/Zurich/Bâle 2011, ch. 2066 p.548). Le gain assuré comprend en particulier les allocations familiales, lesquelles ne sont pas prises en compte dans le calcul du revenu sans invalidité (arrêt 8C_733/2013 du 5 septembre 2014 consid. 5 et la référence). 5.2.2.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et 129 V 472 consid. 4.2.1 ; arrêt 9C_843/2015 du 7 avril 2016 consid. 5.2).</w:t>
      </w:r>
    </w:p>
    <w:p>
      <w:r>
        <w:t>- 17 -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5.3. Le Tribunal fédéral a considéré, pour des raisons liées au respect du principe constitutionnel de l'égalité de traitement, qu'il n'y avait pas lieu de tenir compte de données salariales régionales, et à plus forte raison cantonales (arrêts 9C_535/2019 du 31 octobre 2019 consid. 4 ; 8C_744/2011 du 25 avril 2012 consid. 5.2 et les références, in SVR 2012 UV n° 26 p. 93 ; voir également arrêts I 820/06 du 4 septembre 2007 consid. 3.3 et U 75/03 du 12 octobre 2006 consid. 8, in SVR 2007 UV n° 17 p. 56). En outre, le caractère irréaliste des possibilités de travail doit découler de l'atteinte à la santé - puisqu'une telle atteinte est indispensable à la reconnaissance de l'invalidité (art.</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w:t>
      </w:r>
    </w:p>
    <w:p>
      <w:r>
        <w:t>- 11 - internes à l'assurance, il est alors nécessaire de procéder à des éclaircissements complémentaires (ATF 135 V 465 consid. 4.4 ; arrêt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8C_198/2020 du 28 septembre 2020 consid. 2.1.2). 3.3.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arrêts 9C_748/2013 du 10 février 2014 consid. 4.1.1 et 4.1.2, I 131/03 du 22 mars 2004 consid. 2.2). Le simple fait</w:t>
      </w:r>
    </w:p>
    <w:p>
      <w:r>
        <w:t>- 12 - qu'un ou plusieurs avis médicaux divergents ont été produits – même émanant de spécialistes – ne suffit cependant pas à lui seul à remettre en cause la valeur probante d’une expertise médicale (arrêts 9C_748/2013 cité consid. 4.1.1,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U 571/06 du 29 mai 2007 consid. 4.2 et les références). 4. Dans le cas d’espèce, il s’agit de comparer la situation du recourant entre janvier 2017, date du dernier examen matériel du droit à la rente, et novembre 2019, lorsque la décision de révision litigieuse a été prononcée.</w:t>
      </w:r>
    </w:p>
    <w:p>
      <w:r>
        <w:rPr>
          <w:b/>
        </w:rPr>
        <w:t>E. 6.1</w:t>
      </w:r>
    </w:p>
    <w:p>
      <w:r>
        <w:t>Aux termes de l'article 8 alinéa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l'article 8a alinéa 1 LAI, les bénéficiaires de rente ont droit à des mesures de nouvelle réadaptation aux conditions que leur capacité de gain peut, selon toute vraisemblance, être améliorée (let. a) et que ces mesures sont de nature à améliorer leur capacité de gain (let. b).</w:t>
      </w:r>
    </w:p>
    <w:p>
      <w:r>
        <w:rPr>
          <w:b/>
        </w:rPr>
        <w:t>E. 6.2</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9C_800/2014, 9C_811/2014 du 31 janvier 2015 consid. 5 et les références citées). Toutefois,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w:t>
      </w:r>
    </w:p>
    <w:p>
      <w:r>
        <w:t>- 20 -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9C_800/2014, 9C_811/2014 précité).</w:t>
      </w:r>
    </w:p>
    <w:p>
      <w:r>
        <w:rPr>
          <w:b/>
        </w:rPr>
        <w:t>E. 6.3</w:t>
      </w:r>
    </w:p>
    <w:p>
      <w:r>
        <w:t>En l’espèce, si le recourant (âgé de moins de 55 ans au moment où la décision contestée a été rendue et qui a bénéficié d'une rente entière pendant un peu moins de 5 ans, donc moins de 15 ans ; arrêt 9C_228/2010 du 26 avril 2011 c. 3.3-3.5) entend obtenir l'appui de l'AI pour des mesures d’ordre professionnel, il lui appartient d’en faire la demande à l’OAI, puisqu’il ne remplissait pas les conditions ouvrant le droit à des mesures de réadaptation avant que sa rente ne soit supprimée et qu’au surplus sa conclusion tendant à l’octroi de mesures d’ordre professionnel sort du cadre de la décision litigieuse qui se limite à la suppression de la rente d’invalidité.</w:t>
      </w:r>
    </w:p>
    <w:p>
      <w:r>
        <w:rPr>
          <w:b/>
        </w:rPr>
        <w:t>E. 7</w:t>
      </w:r>
    </w:p>
    <w:p>
      <w:r>
        <w:t>et 8 LPGA) - et non de facteurs psychosociaux ou socioculturels qui sont étrangers à la définition juridique de l'invalidité. Les facteurs personnels, tels que le statut d’étranger, les problèmes de langue, l’âge ou les problèmes sur le marché du travail (récession) ne sont ainsi pas pris en considération (arrêt 9C_286/2015 du 12 janvier 2016 consid. 4.2 et les références). 5.4.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w:t>
      </w:r>
    </w:p>
    <w:p>
      <w:r>
        <w:t>- 18 -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 5.5. En l’occurrence, l’OAI a considéré que l’assuré disposait d’une capacité de travail entière dans une activité adaptée à ses limitations fonctionnelles (pas de travaux lourds, position de travail assise avec possibilité de se lever librement, pas de position accroupie ni agenouillée, pas de déplacements longs ni répétitifs, pas de déplacements en terrain inégal, sur plans inclinés, sur échelles et par escaliers, port de charges jusqu’à 5 kilos) puis, après avoir utilisé la méthode de comparaison des revenus, est arrivé à la conclusion que le recourant ne présentait qu’un taux d’invalidité de 14%. Le recourant souhaiterait au contraire continuer à bénéficier d’une rente d’invalidité ou, à défaut, bénéficier de mesures d’ordre professionnel. Il conteste en particulier le revenu d’invalide retenu par l’intimé, en alléguant qu’il est inconcevable pour lui de gagner un tel revenu au vu de ses limitations et de sa formation. Dans les circonstances du cas particulier, le calcul opéré par l’intimé dans la décision querellée n’est pas critiquable. Premièrement, l’OAI a déterminé le revenu sans invalidité de la manière la plus concrète possible, en se basant sur le dernier salaire obtenu auprès de A _________ SA par le recourant avant son accident en 2014 (5430 fr. x 13 ; pièce OAI 198, p. 668), puis en l’adaptant à l’évolution nominale des salaires jusqu’à la date de la décision. Ensuite, s’agissant du revenu d’invalide, il n’est pas irréaliste de considérer, dans un marché du travail équilibré et non concret, que le recourant puisse être embauché dans une activité légère et adaptée à ses limitations fonctionnelles, telles les activités citées par son médecin traitant (cariste, chauffeur, machiniste ou grutier). Le niveau de compétence 1 retenu dans la décision querellée recouvre en effet un large éventail d’emplois variés et non qualifiés, ne requérant pas d'expérience professionnelle spécifique, ni de formation particulière, si ce n'est une phase initiale d'adaptation et d'apprentissage (arrêt 9C_458/2018 du 17 octobre 2018 consid. 4.1). Le taux d’abattement de 10% retenu par l’OAI permet en outre de tenir correctement compte de l’impact des limitations fonctionnelles du recourant sur son revenu d’invalide. Une déduction supplémentaire n’apparaît en l’occurrence pas justifiée et ne saurait de toute manière pas être décisive, dans la mesure où même si un abattement maximal de</w:t>
      </w:r>
    </w:p>
    <w:p>
      <w:r>
        <w:t>- 19 - 25% (ATF 126 V 75) était retenu, le recourant ne pourrait pas prétendre à une rente d’invalidité (28% d’invalidité en cas d’abattement de 25%). 5.6. Attendu de ce qui précède, le calcul opéré par l’intimé pour déterminer le taux d’invalidité du recourant à 14% n’est aucunement critiquable. Le recours doit dès lors être rejeté et la décision du 21 novembre 2019 confirmée quant à la suppression de la rente.</w:t>
      </w:r>
    </w:p>
    <w:p>
      <w:r>
        <w:rPr>
          <w:b/>
        </w:rPr>
        <w:t>E. 7.1</w:t>
      </w:r>
    </w:p>
    <w:p>
      <w:r>
        <w:t>Les frais de justice, arrêtés à 500 frs, fixés selon les principes de la couverture des coûts et de l’équivalence des prestations, sont mis à la charge du recourant qui succombe (art. 61 let. a aLPGA et 83 LPGA ; art. 69 al. 1bis LAI), le montant étant compensé par l’avance de frais, d’un montant équivalent, déjà versée.</w:t>
      </w:r>
    </w:p>
    <w:p>
      <w:r>
        <w:rPr>
          <w:b/>
        </w:rPr>
        <w:t>E. 7.2</w:t>
      </w:r>
    </w:p>
    <w:p>
      <w:r>
        <w:t>Le recourant n’ayant pas eu gain de cause, aucun dépens ne lui est alloué (art. 61 let. g LPGA a contrario), ni d’ailleurs à l’OAI (art. 91 al. 3 LPJA).</w:t>
      </w:r>
    </w:p>
    <w:p>
      <w:r>
        <w:t>Prononce</w:t>
      </w:r>
    </w:p>
    <w:p>
      <w:r>
        <w:t>1. Le recours est rejeté. 2. Les frais, par 500 francs, sont mis à la charge de X _________.</w:t>
      </w:r>
    </w:p>
    <w:p>
      <w:r>
        <w:t>Sion, le 12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